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64AF" w14:textId="77777777" w:rsidR="00AB3FBA" w:rsidRPr="00DF2CF3" w:rsidRDefault="00AB3FBA" w:rsidP="000800F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F2CF3">
        <w:rPr>
          <w:b/>
          <w:sz w:val="28"/>
          <w:szCs w:val="28"/>
        </w:rPr>
        <w:t>Система управления рисками</w:t>
      </w:r>
    </w:p>
    <w:p w14:paraId="6EAF71E7" w14:textId="77777777" w:rsidR="00AB3FBA" w:rsidRPr="00DF2CF3" w:rsidRDefault="00AB3FBA" w:rsidP="00DF2CF3">
      <w:pPr>
        <w:ind w:firstLine="709"/>
        <w:rPr>
          <w:sz w:val="28"/>
          <w:szCs w:val="28"/>
        </w:rPr>
      </w:pPr>
    </w:p>
    <w:p w14:paraId="5BB18D26" w14:textId="77777777" w:rsidR="00AB3FBA" w:rsidRPr="00DF2CF3" w:rsidRDefault="00AB3FBA" w:rsidP="00905AF2">
      <w:pPr>
        <w:ind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Одним из условий, гарантирующим функционирование банка, является успешное управление активами, пассивами и капиталом в условиях постоянно меняющейся макроэкономической среды, исполнение законов Республики Беларусь и нормативных правовых актов, утвержденных Национальным банком Республики Беларусь, рекомендаций Базельского комитета по банковскому надзору, регламентирующих подходы к организации систем внутреннего контроля и систем управления рисками в банках.</w:t>
      </w:r>
    </w:p>
    <w:p w14:paraId="4580C9BD" w14:textId="05B5673A" w:rsidR="00D45409" w:rsidRDefault="00AB3FBA" w:rsidP="00905A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В ЗАО «Банк</w:t>
      </w:r>
      <w:r w:rsidR="00AE2B62">
        <w:rPr>
          <w:rFonts w:ascii="Times New Roman" w:hAnsi="Times New Roman" w:cs="Times New Roman"/>
          <w:sz w:val="28"/>
          <w:szCs w:val="28"/>
        </w:rPr>
        <w:t xml:space="preserve"> РРБ</w:t>
      </w:r>
      <w:r w:rsidRPr="00DF2CF3">
        <w:rPr>
          <w:rFonts w:ascii="Times New Roman" w:hAnsi="Times New Roman" w:cs="Times New Roman"/>
          <w:sz w:val="28"/>
          <w:szCs w:val="28"/>
        </w:rPr>
        <w:t xml:space="preserve">» организована эффективная система риск-менеджмента в соответствии с международными требованиями и стандартами, включающая в себя управление рисками, присущими банковской деятельности, с учетом фактора существенности – критерия, характеризующего степень влияния определенного вида банковского риска на финансовую устойчивость Банка. </w:t>
      </w:r>
    </w:p>
    <w:p w14:paraId="78C836D1" w14:textId="5D244410" w:rsidR="00AB3FBA" w:rsidRPr="00DF2CF3" w:rsidRDefault="00297D8F" w:rsidP="00905A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3FBA" w:rsidRPr="00DF2CF3">
        <w:rPr>
          <w:rFonts w:ascii="Times New Roman" w:hAnsi="Times New Roman" w:cs="Times New Roman"/>
          <w:sz w:val="28"/>
          <w:szCs w:val="28"/>
        </w:rPr>
        <w:t xml:space="preserve">ущественными рисками Банк признает следующие виды рисков: </w:t>
      </w:r>
      <w:r>
        <w:rPr>
          <w:rFonts w:ascii="Times New Roman" w:hAnsi="Times New Roman" w:cs="Times New Roman"/>
          <w:sz w:val="28"/>
          <w:szCs w:val="28"/>
        </w:rPr>
        <w:t>кредитный риск, рыночный риск, операционный риск, риск ликвидности, процентный риск банковского портфеля,</w:t>
      </w:r>
      <w:r w:rsidRPr="00297D8F">
        <w:rPr>
          <w:rFonts w:ascii="Times New Roman" w:hAnsi="Times New Roman" w:cs="Times New Roman"/>
          <w:sz w:val="28"/>
          <w:szCs w:val="28"/>
        </w:rPr>
        <w:t xml:space="preserve"> </w:t>
      </w:r>
      <w:r w:rsidRPr="005C0087">
        <w:rPr>
          <w:rFonts w:ascii="Times New Roman" w:hAnsi="Times New Roman" w:cs="Times New Roman"/>
          <w:sz w:val="28"/>
          <w:szCs w:val="28"/>
        </w:rPr>
        <w:t xml:space="preserve">стратегический риск, </w:t>
      </w:r>
      <w:r w:rsidR="00A06BB3">
        <w:rPr>
          <w:rFonts w:ascii="Times New Roman" w:hAnsi="Times New Roman" w:cs="Times New Roman"/>
          <w:sz w:val="28"/>
          <w:szCs w:val="28"/>
        </w:rPr>
        <w:t>репутационный риск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B7FD39" w14:textId="77777777" w:rsidR="00297D8F" w:rsidRPr="005C0087" w:rsidRDefault="00297D8F" w:rsidP="00297D8F">
      <w:pPr>
        <w:ind w:firstLine="709"/>
        <w:jc w:val="both"/>
        <w:rPr>
          <w:sz w:val="28"/>
          <w:szCs w:val="28"/>
        </w:rPr>
      </w:pPr>
      <w:r w:rsidRPr="005C0087">
        <w:rPr>
          <w:sz w:val="28"/>
          <w:szCs w:val="28"/>
        </w:rPr>
        <w:t>Другие виды банковских рисков признаются Банком в качестве существенных при достижении ими определенных параметров (если такие параметры могут быть измерены) в результате деятельности Банка в том или ином периоде своего развития, либо они могут быть признаны таковыми на основании мотивированного суждения.</w:t>
      </w:r>
    </w:p>
    <w:p w14:paraId="7B9648AF" w14:textId="5F7A47A0" w:rsidR="00D522DC" w:rsidRPr="00DF2CF3" w:rsidRDefault="00D522DC" w:rsidP="00905AF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 xml:space="preserve">Риск </w:t>
      </w:r>
      <w:r w:rsidR="00D615C1" w:rsidRPr="00DF2CF3">
        <w:rPr>
          <w:rFonts w:ascii="Times New Roman" w:hAnsi="Times New Roman" w:cs="Times New Roman"/>
          <w:sz w:val="28"/>
          <w:szCs w:val="28"/>
        </w:rPr>
        <w:t>концентрации</w:t>
      </w:r>
      <w:r w:rsidRPr="00DF2CF3">
        <w:rPr>
          <w:rFonts w:ascii="Times New Roman" w:hAnsi="Times New Roman" w:cs="Times New Roman"/>
          <w:sz w:val="28"/>
          <w:szCs w:val="28"/>
        </w:rPr>
        <w:t xml:space="preserve"> рассматривается Банком, как составная часть соответствующих существенных рисков Банка.</w:t>
      </w:r>
    </w:p>
    <w:p w14:paraId="4F6F515E" w14:textId="77777777" w:rsidR="00AB3FBA" w:rsidRPr="00DF2CF3" w:rsidRDefault="00AB3FBA" w:rsidP="00905AF2">
      <w:pPr>
        <w:ind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Банк оценивает риски на стадии предварительного, текущего и последующего контроля, а также определяет органы управления, структурные подразделения и должностных лиц, ответственных</w:t>
      </w:r>
      <w:r w:rsidR="00A85088" w:rsidRPr="00DF2CF3">
        <w:rPr>
          <w:sz w:val="28"/>
          <w:szCs w:val="28"/>
        </w:rPr>
        <w:t xml:space="preserve"> за управление рисками.</w:t>
      </w:r>
    </w:p>
    <w:p w14:paraId="7C915D49" w14:textId="77777777" w:rsidR="00AB3FBA" w:rsidRPr="00DF2CF3" w:rsidRDefault="00AB3FBA" w:rsidP="00905AF2">
      <w:pPr>
        <w:ind w:firstLine="709"/>
        <w:jc w:val="both"/>
      </w:pPr>
      <w:r w:rsidRPr="00DF2CF3">
        <w:rPr>
          <w:sz w:val="28"/>
          <w:szCs w:val="28"/>
        </w:rPr>
        <w:t>Системы управления видами банковского риска, которые Банк признал для себя существенными, включая определения, цели, задачи, этапы, процедуры, участников управления, а также подходы к стресс-тестированию</w:t>
      </w:r>
      <w:r w:rsidR="00A85088" w:rsidRPr="00DF2CF3">
        <w:rPr>
          <w:sz w:val="28"/>
          <w:szCs w:val="28"/>
        </w:rPr>
        <w:t>, регулируются отдельными локальными нормативными правовыми актами</w:t>
      </w:r>
      <w:r w:rsidRPr="00DF2CF3">
        <w:rPr>
          <w:sz w:val="28"/>
          <w:szCs w:val="28"/>
        </w:rPr>
        <w:t>.</w:t>
      </w:r>
    </w:p>
    <w:p w14:paraId="6FB4A710" w14:textId="77777777" w:rsidR="00AB3FBA" w:rsidRPr="00DF2CF3" w:rsidRDefault="00AB3FBA" w:rsidP="00905AF2">
      <w:pPr>
        <w:ind w:firstLine="709"/>
      </w:pPr>
    </w:p>
    <w:p w14:paraId="007A003C" w14:textId="77777777" w:rsidR="003710BF" w:rsidRPr="00DF2CF3" w:rsidRDefault="003710BF" w:rsidP="003710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Целью управления кредитным риском является обеспечение максимальной сохранности активов на основе уменьшения (исключения) возможных убытков, которое достигается на основе системного, комплексного подхода путем реализации следующих задач:</w:t>
      </w:r>
    </w:p>
    <w:p w14:paraId="6367B52B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разделение полномочий и ответственности между органами управления, комитетами, должностными лицами и подразделениями Банка в сфере управления кредитным риском;</w:t>
      </w:r>
    </w:p>
    <w:p w14:paraId="1C9E1561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адекватной и соответствующей интересам Банка системы кредитования клиентов Банка; системы установления лимитов на операции кредитного характера, банки-контрагенты;</w:t>
      </w:r>
    </w:p>
    <w:p w14:paraId="77A6F89C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lastRenderedPageBreak/>
        <w:t>организация системы справедливой оценки обеспечения по операциям кредитного характера;</w:t>
      </w:r>
    </w:p>
    <w:p w14:paraId="5B9C78B9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независимых первичной и вторичной экспертиз кредитных проектов и проектов лимитов на банки-контрагенты;</w:t>
      </w:r>
    </w:p>
    <w:p w14:paraId="1CD03B62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 xml:space="preserve">организация эффективной претензионно-исковой работы и работы с </w:t>
      </w:r>
      <w:r w:rsidR="00D45409">
        <w:rPr>
          <w:rFonts w:ascii="Times New Roman" w:hAnsi="Times New Roman" w:cs="Times New Roman"/>
          <w:sz w:val="28"/>
          <w:szCs w:val="28"/>
        </w:rPr>
        <w:t>просроченной задолженностью</w:t>
      </w:r>
      <w:r w:rsidRPr="00DF2CF3">
        <w:rPr>
          <w:rFonts w:ascii="Times New Roman" w:hAnsi="Times New Roman" w:cs="Times New Roman"/>
          <w:sz w:val="28"/>
          <w:szCs w:val="28"/>
        </w:rPr>
        <w:t>;</w:t>
      </w:r>
    </w:p>
    <w:p w14:paraId="7B82E0D6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осуществление качественного и своевременного анализа состояния и динамики кредитного портфеля, нормативов безопасного функционирования, характеризующих уровень кредитного риска, включая секторный анализ и анализ концентрации кредитного портфеля, установление лимитов на секторы с высоким уровнем кредитного риска;</w:t>
      </w:r>
    </w:p>
    <w:p w14:paraId="66F86175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системы стресс-тестирования;</w:t>
      </w:r>
    </w:p>
    <w:p w14:paraId="61BFBF1C" w14:textId="77777777" w:rsidR="003710BF" w:rsidRPr="00DF2CF3" w:rsidRDefault="003710BF" w:rsidP="003710BF">
      <w:pPr>
        <w:pStyle w:val="ConsNormal"/>
        <w:widowControl/>
        <w:numPr>
          <w:ilvl w:val="0"/>
          <w:numId w:val="2"/>
        </w:numPr>
        <w:tabs>
          <w:tab w:val="num" w:pos="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регулярного и своевременного информирования органов управления Банка и комитетов Банка об эффективности системы управления кредитным риском;</w:t>
      </w:r>
    </w:p>
    <w:p w14:paraId="14138DCF" w14:textId="77777777" w:rsidR="003710BF" w:rsidRDefault="003710BF" w:rsidP="003710BF">
      <w:pPr>
        <w:pStyle w:val="ConsNormal"/>
        <w:widowControl/>
        <w:numPr>
          <w:ilvl w:val="0"/>
          <w:numId w:val="2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быстрого и адекватного реагирования, направленной на предотвращение достижения кредитным риском критических для Банка размеров (минимизацию риска).</w:t>
      </w:r>
    </w:p>
    <w:p w14:paraId="4D34029C" w14:textId="77777777" w:rsidR="00D615C1" w:rsidRDefault="00D615C1" w:rsidP="00D615C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5F54EE4A" w14:textId="77777777" w:rsidR="00D615C1" w:rsidRPr="00DF2CF3" w:rsidRDefault="00D615C1" w:rsidP="00D615C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Целью управления риском ликвидности является достижение оптимальной (приемлемой) сбалансированности финансовых активов и финансовых обязательств для обеспечения должного уровня платежеспособности Банка, которое обеспечивается путем реализации следующих задач:</w:t>
      </w:r>
    </w:p>
    <w:p w14:paraId="584681FF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разделение полномочий и ответственности между уполномоченным и исполнительным органами, комитетами, должностными лицами и подразделениями Банка в сфере управления риском ликвидности;</w:t>
      </w:r>
    </w:p>
    <w:p w14:paraId="23F5E9CE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адекватной и соответствующей интересам Банка системы управления финансовыми активами и финансовыми обязательствами;</w:t>
      </w:r>
    </w:p>
    <w:p w14:paraId="2C175955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качественного и своевременного мониторинга и анализа текущего состояния ликвидности, нормативов безопасного функционирования, характеризующих уровень риска ликвидности;</w:t>
      </w:r>
    </w:p>
    <w:p w14:paraId="16CACF06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осуществление качественного и своевременного анализа структуры и динамики ресурсной базы и активов Банка, несоответствий (разрывов) активов и обязательств по срокам погашения;</w:t>
      </w:r>
    </w:p>
    <w:p w14:paraId="7D74D50B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системы прогнозирования денежных потоков Банка в краткосрочной</w:t>
      </w:r>
      <w:r>
        <w:rPr>
          <w:rFonts w:ascii="Times New Roman" w:hAnsi="Times New Roman" w:cs="Times New Roman"/>
          <w:sz w:val="28"/>
          <w:szCs w:val="28"/>
        </w:rPr>
        <w:t>, среднесрочной и долгосрочной</w:t>
      </w:r>
      <w:r w:rsidRPr="00DF2CF3">
        <w:rPr>
          <w:rFonts w:ascii="Times New Roman" w:hAnsi="Times New Roman" w:cs="Times New Roman"/>
          <w:sz w:val="28"/>
          <w:szCs w:val="28"/>
        </w:rPr>
        <w:t xml:space="preserve"> перспективе;</w:t>
      </w:r>
    </w:p>
    <w:p w14:paraId="061E0C39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системы стресс-тестирования;</w:t>
      </w:r>
    </w:p>
    <w:p w14:paraId="49C798AF" w14:textId="77777777" w:rsidR="00D615C1" w:rsidRPr="00DF2CF3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регулярного и своевременного информирования органов управления Банка, комитетов Банка об эффективности системы управления риском ликвидности;</w:t>
      </w:r>
    </w:p>
    <w:p w14:paraId="09395156" w14:textId="77777777" w:rsidR="00D615C1" w:rsidRDefault="00D615C1" w:rsidP="00D615C1">
      <w:pPr>
        <w:pStyle w:val="ConsNormal"/>
        <w:widowControl/>
        <w:numPr>
          <w:ilvl w:val="0"/>
          <w:numId w:val="5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lastRenderedPageBreak/>
        <w:t>создание системы быстрого и адекватного реагирования, направленной на предотвращение достижения риском ликвидности критических для Банка размеров (минимизацию риска)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208F6" w14:textId="77777777" w:rsidR="00D615C1" w:rsidRDefault="00D615C1" w:rsidP="00D615C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E4EB277" w14:textId="77777777" w:rsidR="00D615C1" w:rsidRPr="00DF2CF3" w:rsidRDefault="00D615C1" w:rsidP="00D615C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Целью управления процентным риском банковского портфеля является обеспечение возможности Банка по снижению вероятности потерь (убытков) в результате изменения рыночных процентных ставок и превышения средней стоимости привлеченных средств Банка над средней стоимостью размещенных активов, которое достигается путем реализации следующих задач:</w:t>
      </w:r>
    </w:p>
    <w:p w14:paraId="6C2144B0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разделение полномочий и ответственности между уполномоченным и исполнительным органами, комитетами, должностными лицами и подразделениями Банка в сфере управления процентным риском;</w:t>
      </w:r>
    </w:p>
    <w:p w14:paraId="5354FC63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адекватной и соответствующей интересам Банка системы управления финансовыми активами и финансовыми обязательствами, подверженными процентному риску (чувствительных к изменению процентной ставки);</w:t>
      </w:r>
    </w:p>
    <w:p w14:paraId="7E6343E5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адекватной и соответствующей интересам Банка процентной политики (системы параметров, характеризующих уровень процентного риска);</w:t>
      </w:r>
    </w:p>
    <w:p w14:paraId="4130918A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осуществление качественного и своевременного анализа структуры и динамики ресурсной базы и активных вложений, подверженных процентному риску (чувствительных к изменению процентной ставки), несоответствий (разрывов) активов и обязательств по срокам погашения;</w:t>
      </w:r>
    </w:p>
    <w:p w14:paraId="7F4C43F4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системы стресс-тестирования;</w:t>
      </w:r>
    </w:p>
    <w:p w14:paraId="2BD7EC44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регулярного и своевременного информирования органов управления Банка и комитетов Банка об эффективности системы управления процентным риском;</w:t>
      </w:r>
    </w:p>
    <w:p w14:paraId="158FB3AA" w14:textId="77777777" w:rsidR="00D615C1" w:rsidRPr="00DF2CF3" w:rsidRDefault="00D615C1" w:rsidP="00D615C1">
      <w:pPr>
        <w:pStyle w:val="ConsNormal"/>
        <w:widowControl/>
        <w:numPr>
          <w:ilvl w:val="0"/>
          <w:numId w:val="6"/>
        </w:numPr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быстрого и адекватного реагирования, направленной на предотвращение достижения процентным риском критических для Банка размеров (минимизацию риска)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EC34C2" w14:textId="77777777" w:rsidR="00AB3FBA" w:rsidRPr="00DF2CF3" w:rsidRDefault="00AB3FBA" w:rsidP="00AB3FB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0D290" w14:textId="77777777" w:rsidR="003710BF" w:rsidRPr="00DF2CF3" w:rsidRDefault="003710BF" w:rsidP="003710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 xml:space="preserve">Целью управления валютным риском является обеспечение оптимального соотношения балансовых и </w:t>
      </w:r>
      <w:proofErr w:type="spellStart"/>
      <w:r w:rsidRPr="00DF2CF3">
        <w:rPr>
          <w:rFonts w:ascii="Times New Roman" w:hAnsi="Times New Roman" w:cs="Times New Roman"/>
          <w:sz w:val="28"/>
          <w:szCs w:val="28"/>
        </w:rPr>
        <w:t>внебалансовых</w:t>
      </w:r>
      <w:proofErr w:type="spellEnd"/>
      <w:r w:rsidRPr="00DF2CF3">
        <w:rPr>
          <w:rFonts w:ascii="Times New Roman" w:hAnsi="Times New Roman" w:cs="Times New Roman"/>
          <w:sz w:val="28"/>
          <w:szCs w:val="28"/>
        </w:rPr>
        <w:t xml:space="preserve"> требований и обязательств Банка, номинированных в иностранных валютах, которое достигается путем реализации следующих задач:</w:t>
      </w:r>
    </w:p>
    <w:p w14:paraId="7E8AC137" w14:textId="77777777" w:rsidR="003710BF" w:rsidRPr="00DF2CF3" w:rsidRDefault="003710BF" w:rsidP="003710BF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разделение полномочий и ответственности между органами управления, комитетами, должностными лицами и подразделениями Банка в сфере управления валютным риском;</w:t>
      </w:r>
    </w:p>
    <w:p w14:paraId="2C235231" w14:textId="77777777" w:rsidR="003710BF" w:rsidRPr="00DF2CF3" w:rsidRDefault="003710BF" w:rsidP="003710BF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эффективной системы отслеживания текущего состояния открытой валютной позиции – суммарной позиции и позиций в разрезе иностранных валют;</w:t>
      </w:r>
    </w:p>
    <w:p w14:paraId="6214FB57" w14:textId="77777777" w:rsidR="003710BF" w:rsidRPr="00DF2CF3" w:rsidRDefault="003710BF" w:rsidP="003710BF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lastRenderedPageBreak/>
        <w:t>осуществление качественного и своевременного анализа состояния и динамики открытой валютной позиции Банка, нормативов безопасного функционирования, характеризующих уровень валютного риска;</w:t>
      </w:r>
    </w:p>
    <w:p w14:paraId="59FB14C4" w14:textId="77777777" w:rsidR="003710BF" w:rsidRPr="00DF2CF3" w:rsidRDefault="003710BF" w:rsidP="003710BF">
      <w:pPr>
        <w:pStyle w:val="ConsNormal"/>
        <w:widowControl/>
        <w:numPr>
          <w:ilvl w:val="0"/>
          <w:numId w:val="3"/>
        </w:numPr>
        <w:tabs>
          <w:tab w:val="num" w:pos="709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системы стресс-тестирования;</w:t>
      </w:r>
    </w:p>
    <w:p w14:paraId="10588D14" w14:textId="77777777" w:rsidR="003710BF" w:rsidRPr="00DF2CF3" w:rsidRDefault="003710BF" w:rsidP="003710BF">
      <w:pPr>
        <w:pStyle w:val="ConsNormal"/>
        <w:widowControl/>
        <w:numPr>
          <w:ilvl w:val="0"/>
          <w:numId w:val="3"/>
        </w:numPr>
        <w:tabs>
          <w:tab w:val="num" w:pos="709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регулярного и своевременного информирования органов управления и комитетов Банка об эффективности системы управления валютным риском;</w:t>
      </w:r>
    </w:p>
    <w:p w14:paraId="302904FE" w14:textId="77777777" w:rsidR="003710BF" w:rsidRPr="00DF2CF3" w:rsidRDefault="003710BF" w:rsidP="003710BF">
      <w:pPr>
        <w:pStyle w:val="ConsNormal"/>
        <w:widowControl/>
        <w:numPr>
          <w:ilvl w:val="0"/>
          <w:numId w:val="3"/>
        </w:numPr>
        <w:tabs>
          <w:tab w:val="num" w:pos="709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быстрого и адекватного реагирования, направленной на предотвращение достижения валютным риском критических для Банка размеров (минимизацию риска).</w:t>
      </w:r>
    </w:p>
    <w:p w14:paraId="30B15E1D" w14:textId="77777777" w:rsidR="003710BF" w:rsidRPr="00DF2CF3" w:rsidRDefault="003710BF" w:rsidP="00AB3FB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45036" w14:textId="77777777" w:rsidR="003710BF" w:rsidRDefault="003710BF" w:rsidP="003710BF">
      <w:pPr>
        <w:pStyle w:val="1"/>
        <w:spacing w:line="240" w:lineRule="auto"/>
        <w:ind w:firstLine="709"/>
        <w:jc w:val="both"/>
        <w:rPr>
          <w:b w:val="0"/>
          <w:sz w:val="28"/>
          <w:szCs w:val="28"/>
        </w:rPr>
      </w:pPr>
      <w:r w:rsidRPr="00DF2CF3">
        <w:rPr>
          <w:b w:val="0"/>
          <w:sz w:val="28"/>
          <w:szCs w:val="28"/>
        </w:rPr>
        <w:t>Целью управления товарным риском является обеспечение максимальной сохранности активов на основе уменьшения (исключения) возможных убытков от реализации товаров путем реализации следующих задач:</w:t>
      </w:r>
    </w:p>
    <w:p w14:paraId="4C35DAA5" w14:textId="77777777" w:rsidR="00D5705F" w:rsidRPr="00DF2CF3" w:rsidRDefault="00D5705F" w:rsidP="00D5705F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 xml:space="preserve">разделение полномочий и ответственности между органами управления, комитетами, должностными лицами и подразделениями Банка в сфере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товарным </w:t>
      </w:r>
      <w:r w:rsidRPr="00DF2CF3">
        <w:rPr>
          <w:rFonts w:ascii="Times New Roman" w:hAnsi="Times New Roman" w:cs="Times New Roman"/>
          <w:sz w:val="28"/>
          <w:szCs w:val="28"/>
        </w:rPr>
        <w:t>риском;</w:t>
      </w:r>
    </w:p>
    <w:p w14:paraId="4911BA2B" w14:textId="77777777" w:rsidR="003710BF" w:rsidRPr="00DF2CF3" w:rsidRDefault="003710BF" w:rsidP="003710BF">
      <w:pPr>
        <w:pStyle w:val="1"/>
        <w:numPr>
          <w:ilvl w:val="0"/>
          <w:numId w:val="4"/>
        </w:numPr>
        <w:tabs>
          <w:tab w:val="num" w:pos="720"/>
        </w:tabs>
        <w:snapToGrid w:val="0"/>
        <w:spacing w:line="240" w:lineRule="auto"/>
        <w:ind w:left="720"/>
        <w:jc w:val="both"/>
        <w:rPr>
          <w:b w:val="0"/>
          <w:spacing w:val="7"/>
          <w:sz w:val="28"/>
          <w:szCs w:val="28"/>
        </w:rPr>
      </w:pPr>
      <w:r w:rsidRPr="00DF2CF3">
        <w:rPr>
          <w:b w:val="0"/>
          <w:spacing w:val="7"/>
          <w:sz w:val="28"/>
          <w:szCs w:val="28"/>
        </w:rPr>
        <w:t>изучение структуры товарного портфеля;</w:t>
      </w:r>
    </w:p>
    <w:p w14:paraId="481FCF60" w14:textId="77777777" w:rsidR="003710BF" w:rsidRPr="00DF2CF3" w:rsidRDefault="003710BF" w:rsidP="003710BF">
      <w:pPr>
        <w:pStyle w:val="1"/>
        <w:numPr>
          <w:ilvl w:val="0"/>
          <w:numId w:val="4"/>
        </w:numPr>
        <w:tabs>
          <w:tab w:val="num" w:pos="720"/>
        </w:tabs>
        <w:snapToGrid w:val="0"/>
        <w:spacing w:line="240" w:lineRule="auto"/>
        <w:ind w:left="720"/>
        <w:jc w:val="both"/>
        <w:rPr>
          <w:b w:val="0"/>
          <w:spacing w:val="7"/>
          <w:sz w:val="28"/>
          <w:szCs w:val="28"/>
        </w:rPr>
      </w:pPr>
      <w:r w:rsidRPr="00DF2CF3">
        <w:rPr>
          <w:b w:val="0"/>
          <w:spacing w:val="7"/>
          <w:sz w:val="28"/>
          <w:szCs w:val="28"/>
        </w:rPr>
        <w:t>оценка величины брутто-позиций;</w:t>
      </w:r>
    </w:p>
    <w:p w14:paraId="076361DB" w14:textId="77777777" w:rsidR="003710BF" w:rsidRPr="00DF2CF3" w:rsidRDefault="003710BF" w:rsidP="003710BF">
      <w:pPr>
        <w:pStyle w:val="1"/>
        <w:numPr>
          <w:ilvl w:val="0"/>
          <w:numId w:val="4"/>
        </w:numPr>
        <w:tabs>
          <w:tab w:val="num" w:pos="720"/>
        </w:tabs>
        <w:snapToGrid w:val="0"/>
        <w:spacing w:line="240" w:lineRule="auto"/>
        <w:ind w:left="720"/>
        <w:jc w:val="both"/>
        <w:rPr>
          <w:b w:val="0"/>
          <w:spacing w:val="7"/>
          <w:sz w:val="28"/>
          <w:szCs w:val="28"/>
        </w:rPr>
      </w:pPr>
      <w:r w:rsidRPr="00DF2CF3">
        <w:rPr>
          <w:b w:val="0"/>
          <w:spacing w:val="7"/>
          <w:sz w:val="28"/>
          <w:szCs w:val="28"/>
        </w:rPr>
        <w:t>определение объема, видов и ликвидности имущества, переданного Банку в погашение задолженности;</w:t>
      </w:r>
    </w:p>
    <w:p w14:paraId="0AADC915" w14:textId="77777777" w:rsidR="003710BF" w:rsidRPr="00DF2CF3" w:rsidRDefault="003710BF" w:rsidP="003710BF">
      <w:pPr>
        <w:pStyle w:val="1"/>
        <w:numPr>
          <w:ilvl w:val="0"/>
          <w:numId w:val="4"/>
        </w:numPr>
        <w:tabs>
          <w:tab w:val="num" w:pos="720"/>
        </w:tabs>
        <w:snapToGrid w:val="0"/>
        <w:spacing w:line="240" w:lineRule="auto"/>
        <w:ind w:left="720"/>
        <w:jc w:val="both"/>
        <w:rPr>
          <w:b w:val="0"/>
          <w:sz w:val="28"/>
          <w:szCs w:val="28"/>
        </w:rPr>
      </w:pPr>
      <w:r w:rsidRPr="00DF2CF3">
        <w:rPr>
          <w:b w:val="0"/>
          <w:sz w:val="28"/>
          <w:szCs w:val="28"/>
        </w:rPr>
        <w:t>оценка уровня товарного риска и качества управления товарным риском;</w:t>
      </w:r>
    </w:p>
    <w:p w14:paraId="4807D8C9" w14:textId="77777777" w:rsidR="003710BF" w:rsidRPr="00DF2CF3" w:rsidRDefault="003710BF" w:rsidP="003710BF">
      <w:pPr>
        <w:pStyle w:val="1"/>
        <w:numPr>
          <w:ilvl w:val="0"/>
          <w:numId w:val="4"/>
        </w:numPr>
        <w:tabs>
          <w:tab w:val="num" w:pos="720"/>
        </w:tabs>
        <w:snapToGrid w:val="0"/>
        <w:spacing w:line="240" w:lineRule="auto"/>
        <w:ind w:left="720"/>
        <w:jc w:val="both"/>
        <w:rPr>
          <w:b w:val="0"/>
          <w:sz w:val="28"/>
          <w:szCs w:val="28"/>
        </w:rPr>
      </w:pPr>
      <w:r w:rsidRPr="00DF2CF3">
        <w:rPr>
          <w:b w:val="0"/>
          <w:sz w:val="28"/>
          <w:szCs w:val="28"/>
        </w:rPr>
        <w:t>создание системы анализа состояния и динамики товарных рынков;</w:t>
      </w:r>
    </w:p>
    <w:p w14:paraId="70146CA9" w14:textId="77777777" w:rsidR="003710BF" w:rsidRPr="00DF2CF3" w:rsidRDefault="003710BF" w:rsidP="003710BF">
      <w:pPr>
        <w:pStyle w:val="1"/>
        <w:numPr>
          <w:ilvl w:val="0"/>
          <w:numId w:val="4"/>
        </w:numPr>
        <w:tabs>
          <w:tab w:val="num" w:pos="720"/>
        </w:tabs>
        <w:snapToGrid w:val="0"/>
        <w:spacing w:line="240" w:lineRule="auto"/>
        <w:ind w:left="720"/>
        <w:jc w:val="both"/>
        <w:rPr>
          <w:b w:val="0"/>
          <w:sz w:val="28"/>
          <w:szCs w:val="28"/>
        </w:rPr>
      </w:pPr>
      <w:r w:rsidRPr="00DF2CF3">
        <w:rPr>
          <w:b w:val="0"/>
          <w:sz w:val="28"/>
          <w:szCs w:val="28"/>
        </w:rPr>
        <w:t xml:space="preserve">создание системы быстрого и адекватного реагирования, направленной на предотвращение </w:t>
      </w:r>
      <w:r w:rsidRPr="00DF2CF3">
        <w:rPr>
          <w:b w:val="0"/>
          <w:spacing w:val="-2"/>
          <w:sz w:val="28"/>
          <w:szCs w:val="28"/>
        </w:rPr>
        <w:t>достижения товарным</w:t>
      </w:r>
      <w:r w:rsidRPr="00DF2CF3">
        <w:rPr>
          <w:b w:val="0"/>
          <w:sz w:val="28"/>
          <w:szCs w:val="28"/>
        </w:rPr>
        <w:t xml:space="preserve"> </w:t>
      </w:r>
      <w:r w:rsidRPr="00DF2CF3">
        <w:rPr>
          <w:b w:val="0"/>
          <w:spacing w:val="-2"/>
          <w:sz w:val="28"/>
          <w:szCs w:val="28"/>
        </w:rPr>
        <w:t xml:space="preserve">риском критических </w:t>
      </w:r>
      <w:r w:rsidRPr="00DF2CF3">
        <w:rPr>
          <w:b w:val="0"/>
          <w:spacing w:val="-1"/>
          <w:sz w:val="28"/>
          <w:szCs w:val="28"/>
        </w:rPr>
        <w:t>для Банка размеров</w:t>
      </w:r>
      <w:r w:rsidRPr="00DF2CF3">
        <w:rPr>
          <w:b w:val="0"/>
          <w:sz w:val="28"/>
          <w:szCs w:val="28"/>
        </w:rPr>
        <w:t xml:space="preserve"> (минимизацию риска)</w:t>
      </w:r>
      <w:r w:rsidRPr="00DF2CF3">
        <w:rPr>
          <w:b w:val="0"/>
          <w:spacing w:val="-2"/>
          <w:sz w:val="28"/>
          <w:szCs w:val="28"/>
        </w:rPr>
        <w:t>.</w:t>
      </w:r>
    </w:p>
    <w:p w14:paraId="5A9980D6" w14:textId="77777777" w:rsidR="003710BF" w:rsidRPr="00DF2CF3" w:rsidRDefault="003710BF" w:rsidP="00AB3FB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06BE1" w14:textId="77777777" w:rsidR="00B92544" w:rsidRPr="00DF2CF3" w:rsidRDefault="00B92544" w:rsidP="00B92544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 xml:space="preserve">Целью управления стратегическим риском является занятие Банком более высоких позиций в банковской системе Республики Беларусь, обеспечение достаточного уровня </w:t>
      </w:r>
      <w:r w:rsidR="00843FAD">
        <w:rPr>
          <w:rFonts w:ascii="Times New Roman" w:hAnsi="Times New Roman" w:cs="Times New Roman"/>
          <w:sz w:val="28"/>
          <w:szCs w:val="28"/>
        </w:rPr>
        <w:t xml:space="preserve">прибыли, </w:t>
      </w:r>
      <w:r w:rsidRPr="00DF2CF3">
        <w:rPr>
          <w:rFonts w:ascii="Times New Roman" w:hAnsi="Times New Roman" w:cs="Times New Roman"/>
          <w:sz w:val="28"/>
          <w:szCs w:val="28"/>
        </w:rPr>
        <w:t>рентабельности Банка, повышение стоимости Банка, что достигается путем реализации следующих задач:</w:t>
      </w:r>
    </w:p>
    <w:p w14:paraId="1B678449" w14:textId="77777777" w:rsidR="00B92544" w:rsidRPr="00DF2CF3" w:rsidRDefault="00B92544" w:rsidP="00B92544">
      <w:pPr>
        <w:pStyle w:val="ConsNormal"/>
        <w:widowControl/>
        <w:numPr>
          <w:ilvl w:val="0"/>
          <w:numId w:val="7"/>
        </w:numPr>
        <w:tabs>
          <w:tab w:val="num" w:pos="993"/>
        </w:tabs>
        <w:suppressAutoHyphens/>
        <w:ind w:left="993" w:righ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разделение полномочий и ответственности между органами управления, должностными лицами и службой внутреннего аудита Банка в сфере управления стратегическим риском;</w:t>
      </w:r>
    </w:p>
    <w:p w14:paraId="6D4AAD6C" w14:textId="77777777" w:rsidR="00B92544" w:rsidRPr="00DF2CF3" w:rsidRDefault="00B92544" w:rsidP="00B92544">
      <w:pPr>
        <w:pStyle w:val="ConsNormal"/>
        <w:widowControl/>
        <w:numPr>
          <w:ilvl w:val="0"/>
          <w:numId w:val="7"/>
        </w:numPr>
        <w:tabs>
          <w:tab w:val="num" w:pos="993"/>
        </w:tabs>
        <w:suppressAutoHyphens/>
        <w:ind w:left="993" w:righ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организация эффективной и соответствующей интересам Банка системы сбора, систематизации, обобщения и анализа оперативных и объективных сведений и фактов, на основе которых возможно формирование суждения об уровне стратегического риска;</w:t>
      </w:r>
    </w:p>
    <w:p w14:paraId="64EBFE52" w14:textId="77777777" w:rsidR="00B92544" w:rsidRPr="00DF2CF3" w:rsidRDefault="00B92544" w:rsidP="00B92544">
      <w:pPr>
        <w:pStyle w:val="ConsNormal"/>
        <w:widowControl/>
        <w:numPr>
          <w:ilvl w:val="0"/>
          <w:numId w:val="7"/>
        </w:numPr>
        <w:tabs>
          <w:tab w:val="num" w:pos="993"/>
        </w:tabs>
        <w:suppressAutoHyphens/>
        <w:ind w:left="993" w:righ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t>создание системы регулярного и своевременного информирования уполномоченного и исполнительного органов Банка об эффективности системы управления стратегическим риском;</w:t>
      </w:r>
    </w:p>
    <w:p w14:paraId="4C8873D1" w14:textId="77777777" w:rsidR="00B92544" w:rsidRDefault="00B92544" w:rsidP="00B92544">
      <w:pPr>
        <w:pStyle w:val="ConsNormal"/>
        <w:widowControl/>
        <w:numPr>
          <w:ilvl w:val="0"/>
          <w:numId w:val="7"/>
        </w:numPr>
        <w:tabs>
          <w:tab w:val="num" w:pos="993"/>
        </w:tabs>
        <w:suppressAutoHyphens/>
        <w:ind w:left="993" w:righ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2CF3">
        <w:rPr>
          <w:rFonts w:ascii="Times New Roman" w:hAnsi="Times New Roman" w:cs="Times New Roman"/>
          <w:sz w:val="28"/>
          <w:szCs w:val="28"/>
        </w:rPr>
        <w:lastRenderedPageBreak/>
        <w:t>создание системы быстрого и адекватного реагирования, направленной на предотвращение достижения стратегическим риском критических для Банка размеров (минимизацию риска).</w:t>
      </w:r>
    </w:p>
    <w:p w14:paraId="29D00593" w14:textId="77777777" w:rsidR="00D615C1" w:rsidRDefault="00D615C1" w:rsidP="00D615C1">
      <w:pPr>
        <w:pStyle w:val="ConsNormal"/>
        <w:widowControl/>
        <w:suppressAutoHyphens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2C729A6A" w14:textId="77777777" w:rsidR="00D615C1" w:rsidRPr="00DF2CF3" w:rsidRDefault="00D615C1" w:rsidP="00D615C1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Целью управления операционным риском является обеспечение максимальной сохранности активов и капитала на основе уменьшения (исключения) возможных убытков. В Банке организован мониторинг операционных инцидентов и определение (в предусмотренных случаях) операционных убытков. Кроме того, Банк отслеживает параметры и пороговые значения установленных критериев – показателей раннего предупреждения.</w:t>
      </w:r>
    </w:p>
    <w:p w14:paraId="439AAF52" w14:textId="77777777" w:rsidR="00B92544" w:rsidRPr="00DF2CF3" w:rsidRDefault="00B92544" w:rsidP="00B92544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44BC53" w14:textId="575AF7F8" w:rsidR="00B92544" w:rsidRPr="00DF2CF3" w:rsidRDefault="00B92544" w:rsidP="00B92544">
      <w:pPr>
        <w:pStyle w:val="ConsNormal1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F2CF3">
        <w:rPr>
          <w:rFonts w:ascii="Times New Roman" w:hAnsi="Times New Roman"/>
          <w:sz w:val="28"/>
          <w:szCs w:val="28"/>
        </w:rPr>
        <w:t xml:space="preserve">Целью управления </w:t>
      </w:r>
      <w:r w:rsidR="00D615C1">
        <w:rPr>
          <w:rFonts w:ascii="Times New Roman" w:hAnsi="Times New Roman"/>
          <w:sz w:val="28"/>
          <w:szCs w:val="28"/>
        </w:rPr>
        <w:t xml:space="preserve">репутационным риском </w:t>
      </w:r>
      <w:r w:rsidRPr="00DF2CF3">
        <w:rPr>
          <w:rFonts w:ascii="Times New Roman" w:hAnsi="Times New Roman"/>
          <w:sz w:val="28"/>
          <w:szCs w:val="28"/>
        </w:rPr>
        <w:t>является формирование и поддержание в обществе максимально положительной деловой репутации Банка и представления о Банке как о стабильно устойчивом и надежном финансовом институте и, как следствие, сохранение и наращивание клиентской базы. Данная цель достигается путем реализации следующих задач:</w:t>
      </w:r>
    </w:p>
    <w:p w14:paraId="07F98656" w14:textId="77777777" w:rsidR="00B92544" w:rsidRPr="00DF2CF3" w:rsidRDefault="00B92544" w:rsidP="00B92544">
      <w:pPr>
        <w:pStyle w:val="ConsNormal1"/>
        <w:widowControl/>
        <w:numPr>
          <w:ilvl w:val="0"/>
          <w:numId w:val="8"/>
        </w:numPr>
        <w:tabs>
          <w:tab w:val="num" w:pos="993"/>
        </w:tabs>
        <w:overflowPunct w:val="0"/>
        <w:ind w:left="993" w:right="0" w:hanging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CF3">
        <w:rPr>
          <w:rFonts w:ascii="Times New Roman" w:hAnsi="Times New Roman"/>
          <w:sz w:val="28"/>
          <w:szCs w:val="28"/>
        </w:rPr>
        <w:t>разделение полномочий и ответственности между органами управления, должностными лицами и подразделениями Банка в сфере управления репутационным риском;</w:t>
      </w:r>
    </w:p>
    <w:p w14:paraId="0AA33DFA" w14:textId="77777777" w:rsidR="00B92544" w:rsidRPr="00DF2CF3" w:rsidRDefault="00B92544" w:rsidP="00B92544">
      <w:pPr>
        <w:pStyle w:val="ConsNormal1"/>
        <w:widowControl/>
        <w:numPr>
          <w:ilvl w:val="0"/>
          <w:numId w:val="8"/>
        </w:numPr>
        <w:tabs>
          <w:tab w:val="num" w:pos="993"/>
        </w:tabs>
        <w:overflowPunct w:val="0"/>
        <w:ind w:left="993" w:right="0" w:hanging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CF3">
        <w:rPr>
          <w:rFonts w:ascii="Times New Roman" w:hAnsi="Times New Roman"/>
          <w:sz w:val="28"/>
          <w:szCs w:val="28"/>
        </w:rPr>
        <w:t>осуществление сбора, систематизации, обобщения и анализа оперативных и объективных сведений и фактов, на основе которых возможно формирование суждения об уровне репутационного риска;</w:t>
      </w:r>
    </w:p>
    <w:p w14:paraId="338D6428" w14:textId="77777777" w:rsidR="00B92544" w:rsidRPr="00DF2CF3" w:rsidRDefault="00B92544" w:rsidP="00B92544">
      <w:pPr>
        <w:pStyle w:val="ConsNormal1"/>
        <w:widowControl/>
        <w:numPr>
          <w:ilvl w:val="0"/>
          <w:numId w:val="8"/>
        </w:numPr>
        <w:tabs>
          <w:tab w:val="num" w:pos="993"/>
        </w:tabs>
        <w:overflowPunct w:val="0"/>
        <w:ind w:left="993" w:right="0" w:hanging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CF3">
        <w:rPr>
          <w:rFonts w:ascii="Times New Roman" w:hAnsi="Times New Roman"/>
          <w:sz w:val="28"/>
          <w:szCs w:val="28"/>
        </w:rPr>
        <w:t>регулярное и своевременное информирование уполномоченного и исполнительного органов Банка об инцидентах и ситуациях, которые могут в значительной мере оказать влияние на уровень репутационного риска;</w:t>
      </w:r>
    </w:p>
    <w:p w14:paraId="52481F2F" w14:textId="77777777" w:rsidR="00B92544" w:rsidRPr="00DF2CF3" w:rsidRDefault="00B92544" w:rsidP="00B92544">
      <w:pPr>
        <w:pStyle w:val="ConsNormal1"/>
        <w:widowControl/>
        <w:numPr>
          <w:ilvl w:val="0"/>
          <w:numId w:val="8"/>
        </w:numPr>
        <w:tabs>
          <w:tab w:val="num" w:pos="993"/>
        </w:tabs>
        <w:overflowPunct w:val="0"/>
        <w:ind w:left="993" w:right="0" w:hanging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CF3">
        <w:rPr>
          <w:rFonts w:ascii="Times New Roman" w:hAnsi="Times New Roman"/>
          <w:sz w:val="28"/>
          <w:szCs w:val="28"/>
        </w:rPr>
        <w:t xml:space="preserve">формирование подходов </w:t>
      </w:r>
      <w:proofErr w:type="gramStart"/>
      <w:r w:rsidRPr="00DF2CF3">
        <w:rPr>
          <w:rFonts w:ascii="Times New Roman" w:hAnsi="Times New Roman"/>
          <w:sz w:val="28"/>
          <w:szCs w:val="28"/>
        </w:rPr>
        <w:t>по быстрому</w:t>
      </w:r>
      <w:proofErr w:type="gramEnd"/>
      <w:r w:rsidRPr="00DF2CF3">
        <w:rPr>
          <w:rFonts w:ascii="Times New Roman" w:hAnsi="Times New Roman"/>
          <w:sz w:val="28"/>
          <w:szCs w:val="28"/>
        </w:rPr>
        <w:t xml:space="preserve"> и адекватному реагированию, направленных на предотвращение достижения репутационным риском критических для Банка размеров (минимизацию риска).</w:t>
      </w:r>
    </w:p>
    <w:p w14:paraId="33E120F2" w14:textId="77777777" w:rsidR="00AB3FBA" w:rsidRPr="00DF2CF3" w:rsidRDefault="00AB3FBA" w:rsidP="00AB3FBA">
      <w:pPr>
        <w:pStyle w:val="a3"/>
        <w:rPr>
          <w:sz w:val="28"/>
          <w:szCs w:val="28"/>
        </w:rPr>
      </w:pPr>
    </w:p>
    <w:p w14:paraId="5EB9B9B5" w14:textId="77777777" w:rsidR="00B92544" w:rsidRPr="00DF2CF3" w:rsidRDefault="00DF2CF3" w:rsidP="00B92544">
      <w:pPr>
        <w:ind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С</w:t>
      </w:r>
      <w:r w:rsidR="00B92544" w:rsidRPr="00DF2CF3">
        <w:rPr>
          <w:sz w:val="28"/>
          <w:szCs w:val="28"/>
        </w:rPr>
        <w:t xml:space="preserve"> целью минимизации </w:t>
      </w:r>
      <w:r w:rsidRPr="00DF2CF3">
        <w:rPr>
          <w:sz w:val="28"/>
          <w:szCs w:val="28"/>
        </w:rPr>
        <w:t xml:space="preserve">риска </w:t>
      </w:r>
      <w:r w:rsidR="00B92544" w:rsidRPr="00DF2CF3">
        <w:rPr>
          <w:sz w:val="28"/>
          <w:szCs w:val="28"/>
        </w:rPr>
        <w:t>концентрации Банк осуществляет управление банковскими рисками путем установления лимитов на проводи</w:t>
      </w:r>
      <w:r w:rsidRPr="00DF2CF3">
        <w:rPr>
          <w:sz w:val="28"/>
          <w:szCs w:val="28"/>
        </w:rPr>
        <w:t>мые банковские операции.</w:t>
      </w:r>
    </w:p>
    <w:p w14:paraId="16162DC6" w14:textId="77777777" w:rsidR="00B92544" w:rsidRPr="00DF2CF3" w:rsidRDefault="00B92544" w:rsidP="00B92544">
      <w:pPr>
        <w:ind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Так с целью ограничения (снижения) кредитного риска при осуществлении операций кредитного характера устанавливаются лимиты на одного заемщика, группу взаимосвязанных заемщиков, сектор (отрасль) экономики и т.д.</w:t>
      </w:r>
    </w:p>
    <w:p w14:paraId="6BE6B050" w14:textId="77777777" w:rsidR="00B92544" w:rsidRPr="00DF2CF3" w:rsidRDefault="00B92544" w:rsidP="00B92544">
      <w:pPr>
        <w:ind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Для управления риском концентрации Банком преду</w:t>
      </w:r>
      <w:r w:rsidR="00DF2CF3" w:rsidRPr="00DF2CF3">
        <w:rPr>
          <w:sz w:val="28"/>
          <w:szCs w:val="28"/>
        </w:rPr>
        <w:t>сматриваются следующие подходы:</w:t>
      </w:r>
    </w:p>
    <w:p w14:paraId="0C06CD6C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 xml:space="preserve">при работе с индивидуальным клиентом (физическое или юридическое лицо) Банк рассматривает группу взаимосвязанных лиц как единого клиента и все суммы различных видов активов Банка, </w:t>
      </w:r>
      <w:r w:rsidRPr="00DF2CF3">
        <w:rPr>
          <w:sz w:val="28"/>
          <w:szCs w:val="28"/>
        </w:rPr>
        <w:lastRenderedPageBreak/>
        <w:t>предоставленных группе взаимосвязанных лиц, суммируются и рас</w:t>
      </w:r>
      <w:r w:rsidR="00DF2CF3" w:rsidRPr="00DF2CF3">
        <w:rPr>
          <w:sz w:val="28"/>
          <w:szCs w:val="28"/>
        </w:rPr>
        <w:t>сматриваются как единый актив;</w:t>
      </w:r>
    </w:p>
    <w:p w14:paraId="7C03727C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при привлечении денежных средств Банк рассматривает группу взаимосвязанных лиц как единого клиента (концентрация привлечения средств от одного клиента может негативно влиять на деятельность Банка);</w:t>
      </w:r>
    </w:p>
    <w:p w14:paraId="2B4BFF7A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 xml:space="preserve">при вложении денежных средств в различные отрасли экономики Банк учитывает уровень рискованности данных отраслей и взаимосвязь различных отраслей экономики. Ухудшение ситуации в данных отраслях экономики, областях (регионах) и странах подвергает Банк риску потерь из-за невозврата и оттока размещенных и привлеченных денежных средств Банка, соответственно; </w:t>
      </w:r>
    </w:p>
    <w:p w14:paraId="1D94ABB0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Банком оцениваются размеры р</w:t>
      </w:r>
      <w:r w:rsidR="00DF2CF3" w:rsidRPr="00DF2CF3">
        <w:rPr>
          <w:sz w:val="28"/>
          <w:szCs w:val="28"/>
        </w:rPr>
        <w:t>азличных видов залога;</w:t>
      </w:r>
    </w:p>
    <w:p w14:paraId="6B8B3389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 xml:space="preserve">Банком проводится анализ каждого финансового инструмента для выявления его характерных особенностей, в силу которых он несет в себе риски различного вида, которые могут привести к потерям; </w:t>
      </w:r>
    </w:p>
    <w:p w14:paraId="5644FC3D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взаимосвязи различного вида рисков и их воздействие на риск концентрации оцениваются Банком. При взаимодействии различного вида рисков риск концентрации может увеличиваться (например, девальвация национальной валюты клиента-импортера может повысить уровень его риска невозврата и страновой риск);</w:t>
      </w:r>
    </w:p>
    <w:p w14:paraId="2F8D9889" w14:textId="77777777" w:rsidR="00B92544" w:rsidRPr="00DF2CF3" w:rsidRDefault="00B92544" w:rsidP="00B92544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CF3">
        <w:rPr>
          <w:sz w:val="28"/>
          <w:szCs w:val="28"/>
        </w:rPr>
        <w:t>при управлении риском концентрации Банк оценивает эффективность диверсификации своей деятельности.</w:t>
      </w:r>
    </w:p>
    <w:p w14:paraId="66219A95" w14:textId="77777777" w:rsidR="00843FAD" w:rsidRDefault="00843FAD" w:rsidP="00843FAD">
      <w:pPr>
        <w:pStyle w:val="a3"/>
        <w:autoSpaceDE w:val="0"/>
        <w:autoSpaceDN w:val="0"/>
        <w:adjustRightInd w:val="0"/>
        <w:ind w:left="1429"/>
        <w:rPr>
          <w:sz w:val="28"/>
          <w:szCs w:val="28"/>
        </w:rPr>
      </w:pPr>
    </w:p>
    <w:p w14:paraId="323425AA" w14:textId="77777777" w:rsidR="00843FAD" w:rsidRPr="00843FAD" w:rsidRDefault="00843FAD" w:rsidP="002C1F23">
      <w:pPr>
        <w:pStyle w:val="a3"/>
        <w:shd w:val="clear" w:color="auto" w:fill="FFFFFF" w:themeFill="background1"/>
        <w:autoSpaceDE w:val="0"/>
        <w:autoSpaceDN w:val="0"/>
        <w:adjustRightInd w:val="0"/>
        <w:ind w:left="142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43FAD">
        <w:rPr>
          <w:sz w:val="28"/>
          <w:szCs w:val="28"/>
        </w:rPr>
        <w:t>Общая величина рисков и источники покрытия</w:t>
      </w:r>
    </w:p>
    <w:p w14:paraId="1595B4F1" w14:textId="77777777" w:rsidR="00843FAD" w:rsidRPr="00843FAD" w:rsidRDefault="00843FAD" w:rsidP="002C1F23">
      <w:pPr>
        <w:pStyle w:val="a3"/>
        <w:shd w:val="clear" w:color="auto" w:fill="FFFFFF" w:themeFill="background1"/>
        <w:autoSpaceDE w:val="0"/>
        <w:autoSpaceDN w:val="0"/>
        <w:adjustRightInd w:val="0"/>
        <w:ind w:left="1429"/>
        <w:rPr>
          <w:sz w:val="28"/>
          <w:szCs w:val="28"/>
        </w:rPr>
      </w:pPr>
    </w:p>
    <w:p w14:paraId="2B4B2E49" w14:textId="77777777" w:rsidR="00843FAD" w:rsidRPr="00843FAD" w:rsidRDefault="00843FAD" w:rsidP="002C1F23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43FAD">
        <w:rPr>
          <w:sz w:val="28"/>
          <w:szCs w:val="28"/>
        </w:rPr>
        <w:t xml:space="preserve">Банк определяет порядок действий, осуществляемых на постоянной основе, направленных на определение общей величины принимаемых рисков, а также размера экономического и доступного капиталов в целях безопасного функционирования. Основные требования к организации в Банке </w:t>
      </w:r>
      <w:r w:rsidRPr="00843FAD">
        <w:rPr>
          <w:bCs/>
          <w:sz w:val="28"/>
          <w:szCs w:val="28"/>
        </w:rPr>
        <w:t>внутренней процедуры оценки достаточности капитала</w:t>
      </w:r>
      <w:r w:rsidRPr="00843FAD">
        <w:rPr>
          <w:sz w:val="28"/>
          <w:szCs w:val="28"/>
        </w:rPr>
        <w:t xml:space="preserve"> закреплены в локальном нормативном правовом акте Банка, регламентирующем данную процедуру.</w:t>
      </w:r>
    </w:p>
    <w:p w14:paraId="7E3B6ADA" w14:textId="77777777" w:rsidR="00843FAD" w:rsidRPr="00843FAD" w:rsidRDefault="00843FAD" w:rsidP="002C1F23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43FAD">
        <w:rPr>
          <w:sz w:val="28"/>
          <w:szCs w:val="28"/>
        </w:rPr>
        <w:t>Внутренняя оценка капитала является составной частью общего процесса управления Банком и проводится в рамках созданной в нем системы управления рисками с использованием соответствующей информации, полученной при осуществлении процедур управления рисками Банка, в том числе при их выявлении (идентификации), измерении (оценке), мониторинге, ограничении (снижении), контроле и стресс-тестировании.</w:t>
      </w:r>
    </w:p>
    <w:p w14:paraId="487F2036" w14:textId="77777777" w:rsidR="00843FAD" w:rsidRPr="00843FAD" w:rsidRDefault="00843FAD" w:rsidP="002C1F23">
      <w:pPr>
        <w:pStyle w:val="a3"/>
        <w:shd w:val="clear" w:color="auto" w:fill="FFFFFF" w:themeFill="background1"/>
        <w:ind w:left="0" w:firstLine="851"/>
        <w:jc w:val="both"/>
        <w:rPr>
          <w:sz w:val="28"/>
          <w:szCs w:val="28"/>
        </w:rPr>
      </w:pPr>
      <w:r w:rsidRPr="00843FAD">
        <w:rPr>
          <w:sz w:val="28"/>
          <w:szCs w:val="28"/>
        </w:rPr>
        <w:t>Внутренняя процедура оценки достаточности капитала является элементом системы управления рисками. При осуществлении внутренней процедуры оценки достаточности капитала Банк обеспечивает последовательное достижение следующих целей:</w:t>
      </w:r>
    </w:p>
    <w:p w14:paraId="50038A90" w14:textId="77777777" w:rsidR="00843FAD" w:rsidRPr="00843FAD" w:rsidRDefault="00843FAD" w:rsidP="002C1F23">
      <w:pPr>
        <w:pStyle w:val="a3"/>
        <w:numPr>
          <w:ilvl w:val="0"/>
          <w:numId w:val="1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3FAD">
        <w:rPr>
          <w:sz w:val="28"/>
          <w:szCs w:val="28"/>
        </w:rPr>
        <w:t>оценку достаточности имеющегося в распоряжении Банка капитала для покрытия существенных видов рисков;</w:t>
      </w:r>
    </w:p>
    <w:p w14:paraId="32E79313" w14:textId="77777777" w:rsidR="00843FAD" w:rsidRPr="00843FAD" w:rsidRDefault="00843FAD" w:rsidP="002C1F23">
      <w:pPr>
        <w:pStyle w:val="a3"/>
        <w:numPr>
          <w:ilvl w:val="0"/>
          <w:numId w:val="1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3FAD">
        <w:rPr>
          <w:sz w:val="28"/>
          <w:szCs w:val="28"/>
        </w:rPr>
        <w:lastRenderedPageBreak/>
        <w:t>планирование доступного и экономического капиталов исходя из результатов всесторонней оценки существенных видов рисков, стресс-тестирования устойчивости Банка к внутренним и внешним факторам рисков, ориентиров развития бизнеса, предусмотренных стратегией развития Банка;</w:t>
      </w:r>
    </w:p>
    <w:p w14:paraId="790214CB" w14:textId="77777777" w:rsidR="00843FAD" w:rsidRPr="00843FAD" w:rsidRDefault="00843FAD" w:rsidP="002C1F23">
      <w:pPr>
        <w:pStyle w:val="a3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3FAD">
        <w:rPr>
          <w:sz w:val="28"/>
          <w:szCs w:val="28"/>
        </w:rPr>
        <w:t>интегрирование внутренней процедуры оценки достаточности капитала в систему стратегического планирования Банка таким образом, чтобы результаты внутренней процедуры оценки достаточности капитала использовались при принятии решений по развитию бизнеса (формировании стратегии развития) Банка в качестве основы для оценки размера капитала, необходимого для покрытия существенных видов рисков.</w:t>
      </w:r>
    </w:p>
    <w:p w14:paraId="5FE4A83B" w14:textId="77777777" w:rsidR="00B92544" w:rsidRPr="00DF2CF3" w:rsidRDefault="00B92544" w:rsidP="00AB3FBA">
      <w:pPr>
        <w:pStyle w:val="a3"/>
        <w:rPr>
          <w:sz w:val="28"/>
          <w:szCs w:val="28"/>
        </w:rPr>
      </w:pPr>
    </w:p>
    <w:p w14:paraId="6216BC45" w14:textId="77777777" w:rsidR="00AB3FBA" w:rsidRPr="00DF2CF3" w:rsidRDefault="00AB3FBA" w:rsidP="00AB3FBA">
      <w:pPr>
        <w:pStyle w:val="a3"/>
        <w:rPr>
          <w:sz w:val="28"/>
          <w:szCs w:val="28"/>
        </w:rPr>
      </w:pPr>
      <w:r w:rsidRPr="00DF2CF3">
        <w:rPr>
          <w:sz w:val="28"/>
          <w:szCs w:val="28"/>
        </w:rPr>
        <w:t>*        *        *</w:t>
      </w:r>
    </w:p>
    <w:p w14:paraId="1D417EEE" w14:textId="7FC33FE6" w:rsidR="00AB3FBA" w:rsidRPr="00DF2CF3" w:rsidRDefault="00AB3FBA" w:rsidP="000800F2">
      <w:pPr>
        <w:jc w:val="both"/>
        <w:rPr>
          <w:sz w:val="28"/>
          <w:szCs w:val="28"/>
        </w:rPr>
      </w:pPr>
      <w:r w:rsidRPr="00DF2CF3">
        <w:rPr>
          <w:sz w:val="28"/>
          <w:szCs w:val="28"/>
        </w:rPr>
        <w:t>Протоколом Совета Директоров ЗАО «</w:t>
      </w:r>
      <w:r w:rsidR="00AE2B62">
        <w:rPr>
          <w:sz w:val="28"/>
          <w:szCs w:val="28"/>
        </w:rPr>
        <w:t>Банк РРБ</w:t>
      </w:r>
      <w:r w:rsidRPr="00DF2CF3">
        <w:rPr>
          <w:sz w:val="28"/>
          <w:szCs w:val="28"/>
        </w:rPr>
        <w:t>» №</w:t>
      </w:r>
      <w:r w:rsidR="00C140E7">
        <w:rPr>
          <w:sz w:val="28"/>
          <w:szCs w:val="28"/>
        </w:rPr>
        <w:t>5</w:t>
      </w:r>
      <w:r w:rsidRPr="00DF2CF3">
        <w:rPr>
          <w:sz w:val="28"/>
          <w:szCs w:val="28"/>
        </w:rPr>
        <w:t xml:space="preserve"> от </w:t>
      </w:r>
      <w:r w:rsidR="005A1178">
        <w:rPr>
          <w:sz w:val="28"/>
          <w:szCs w:val="28"/>
        </w:rPr>
        <w:t>26</w:t>
      </w:r>
      <w:r w:rsidRPr="00DF2CF3">
        <w:rPr>
          <w:sz w:val="28"/>
          <w:szCs w:val="28"/>
        </w:rPr>
        <w:t>.</w:t>
      </w:r>
      <w:r w:rsidR="00AE2B62">
        <w:rPr>
          <w:sz w:val="28"/>
          <w:szCs w:val="28"/>
        </w:rPr>
        <w:t>0</w:t>
      </w:r>
      <w:r w:rsidR="005A1178">
        <w:rPr>
          <w:sz w:val="28"/>
          <w:szCs w:val="28"/>
        </w:rPr>
        <w:t>2</w:t>
      </w:r>
      <w:r w:rsidRPr="00DF2CF3">
        <w:rPr>
          <w:sz w:val="28"/>
          <w:szCs w:val="28"/>
        </w:rPr>
        <w:t>.20</w:t>
      </w:r>
      <w:r w:rsidR="00EC5B14">
        <w:rPr>
          <w:sz w:val="28"/>
          <w:szCs w:val="28"/>
        </w:rPr>
        <w:t>2</w:t>
      </w:r>
      <w:r w:rsidR="005A1178">
        <w:rPr>
          <w:sz w:val="28"/>
          <w:szCs w:val="28"/>
        </w:rPr>
        <w:t>6</w:t>
      </w:r>
      <w:r w:rsidRPr="00DF2CF3">
        <w:rPr>
          <w:sz w:val="28"/>
          <w:szCs w:val="28"/>
        </w:rPr>
        <w:t xml:space="preserve"> должностным лицом, ответственным за управление рисками в Банке, назначен</w:t>
      </w:r>
      <w:r w:rsidR="00A812FE">
        <w:rPr>
          <w:sz w:val="28"/>
          <w:szCs w:val="28"/>
        </w:rPr>
        <w:t>а</w:t>
      </w:r>
      <w:r w:rsidRPr="00DF2CF3">
        <w:rPr>
          <w:sz w:val="28"/>
          <w:szCs w:val="28"/>
        </w:rPr>
        <w:t xml:space="preserve"> </w:t>
      </w:r>
      <w:proofErr w:type="spellStart"/>
      <w:r w:rsidR="00A812FE">
        <w:rPr>
          <w:rFonts w:eastAsiaTheme="minorHAnsi"/>
          <w:color w:val="000000"/>
          <w:sz w:val="28"/>
          <w:szCs w:val="28"/>
          <w:lang w:eastAsia="en-US"/>
        </w:rPr>
        <w:t>Учава</w:t>
      </w:r>
      <w:proofErr w:type="spellEnd"/>
      <w:r w:rsidR="00A812FE">
        <w:rPr>
          <w:rFonts w:eastAsiaTheme="minorHAnsi"/>
          <w:color w:val="000000"/>
          <w:sz w:val="28"/>
          <w:szCs w:val="28"/>
          <w:lang w:eastAsia="en-US"/>
        </w:rPr>
        <w:t xml:space="preserve"> Елена Геннадьевна</w:t>
      </w:r>
      <w:r w:rsidRPr="00DF2CF3">
        <w:rPr>
          <w:sz w:val="28"/>
          <w:szCs w:val="28"/>
        </w:rPr>
        <w:t xml:space="preserve">, </w:t>
      </w:r>
      <w:r w:rsidR="00DD4CB1">
        <w:rPr>
          <w:sz w:val="28"/>
          <w:szCs w:val="28"/>
        </w:rPr>
        <w:t>Заместитель Председателя Правления</w:t>
      </w:r>
      <w:r w:rsidR="00A812FE">
        <w:rPr>
          <w:sz w:val="28"/>
          <w:szCs w:val="28"/>
        </w:rPr>
        <w:t>.</w:t>
      </w:r>
    </w:p>
    <w:sectPr w:rsidR="00AB3FBA" w:rsidRPr="00DF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1C9D"/>
    <w:multiLevelType w:val="hybridMultilevel"/>
    <w:tmpl w:val="F870A5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8054CC"/>
    <w:multiLevelType w:val="hybridMultilevel"/>
    <w:tmpl w:val="6344BC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0EE6842"/>
    <w:multiLevelType w:val="hybridMultilevel"/>
    <w:tmpl w:val="D2C6A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A7C7D"/>
    <w:multiLevelType w:val="hybridMultilevel"/>
    <w:tmpl w:val="1442A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1A4695"/>
    <w:multiLevelType w:val="hybridMultilevel"/>
    <w:tmpl w:val="4176C2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B757221"/>
    <w:multiLevelType w:val="hybridMultilevel"/>
    <w:tmpl w:val="62BC4C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F952F4"/>
    <w:multiLevelType w:val="hybridMultilevel"/>
    <w:tmpl w:val="562C65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DB47D8"/>
    <w:multiLevelType w:val="hybridMultilevel"/>
    <w:tmpl w:val="F3186D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D118C5"/>
    <w:multiLevelType w:val="hybridMultilevel"/>
    <w:tmpl w:val="5F04B5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0FA7E78"/>
    <w:multiLevelType w:val="hybridMultilevel"/>
    <w:tmpl w:val="155E2A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0E1724"/>
    <w:multiLevelType w:val="hybridMultilevel"/>
    <w:tmpl w:val="732275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BA"/>
    <w:rsid w:val="000800F2"/>
    <w:rsid w:val="00124E1E"/>
    <w:rsid w:val="00130326"/>
    <w:rsid w:val="001523ED"/>
    <w:rsid w:val="001D0427"/>
    <w:rsid w:val="00297D8F"/>
    <w:rsid w:val="002C1F23"/>
    <w:rsid w:val="003710BF"/>
    <w:rsid w:val="003F6E9C"/>
    <w:rsid w:val="004343CE"/>
    <w:rsid w:val="00500346"/>
    <w:rsid w:val="00522131"/>
    <w:rsid w:val="005866CD"/>
    <w:rsid w:val="005A1178"/>
    <w:rsid w:val="006315DE"/>
    <w:rsid w:val="00843FAD"/>
    <w:rsid w:val="00905AF2"/>
    <w:rsid w:val="00A06BB3"/>
    <w:rsid w:val="00A812FE"/>
    <w:rsid w:val="00A85088"/>
    <w:rsid w:val="00A96B15"/>
    <w:rsid w:val="00AB3FBA"/>
    <w:rsid w:val="00AE2B62"/>
    <w:rsid w:val="00AE3F1D"/>
    <w:rsid w:val="00B5324E"/>
    <w:rsid w:val="00B92544"/>
    <w:rsid w:val="00BF4AE7"/>
    <w:rsid w:val="00C07383"/>
    <w:rsid w:val="00C140E7"/>
    <w:rsid w:val="00CE7B6E"/>
    <w:rsid w:val="00D13D83"/>
    <w:rsid w:val="00D45409"/>
    <w:rsid w:val="00D522DC"/>
    <w:rsid w:val="00D5705F"/>
    <w:rsid w:val="00D615C1"/>
    <w:rsid w:val="00D63290"/>
    <w:rsid w:val="00D84EDD"/>
    <w:rsid w:val="00DB4A73"/>
    <w:rsid w:val="00DC3911"/>
    <w:rsid w:val="00DD4CB1"/>
    <w:rsid w:val="00DE6D2C"/>
    <w:rsid w:val="00DF2CF3"/>
    <w:rsid w:val="00E30045"/>
    <w:rsid w:val="00E539BD"/>
    <w:rsid w:val="00E706C7"/>
    <w:rsid w:val="00EB0628"/>
    <w:rsid w:val="00EC5B14"/>
    <w:rsid w:val="00F011AC"/>
    <w:rsid w:val="00FD4EF0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C1215"/>
  <w15:docId w15:val="{0BEC01BF-8F49-44AA-95B7-AA4FAC2E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B3F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бычный1"/>
    <w:rsid w:val="00AB3FBA"/>
    <w:pPr>
      <w:widowControl w:val="0"/>
      <w:spacing w:after="0" w:line="320" w:lineRule="auto"/>
      <w:ind w:firstLine="74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AB3FBA"/>
    <w:pPr>
      <w:ind w:left="720"/>
      <w:contextualSpacing/>
    </w:pPr>
  </w:style>
  <w:style w:type="character" w:customStyle="1" w:styleId="ConsNormal0">
    <w:name w:val="ConsNormal Знак Знак"/>
    <w:basedOn w:val="a0"/>
    <w:link w:val="ConsNormal1"/>
    <w:locked/>
    <w:rsid w:val="00B92544"/>
    <w:rPr>
      <w:rFonts w:ascii="Arial" w:hAnsi="Arial" w:cs="Arial"/>
      <w:sz w:val="24"/>
      <w:szCs w:val="24"/>
    </w:rPr>
  </w:style>
  <w:style w:type="paragraph" w:customStyle="1" w:styleId="ConsNormal1">
    <w:name w:val="ConsNormal Знак"/>
    <w:link w:val="ConsNormal0"/>
    <w:rsid w:val="00B9254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7D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D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Наркевич</dc:creator>
  <cp:lastModifiedBy>Князева Светлана Владимировна</cp:lastModifiedBy>
  <cp:revision>2</cp:revision>
  <dcterms:created xsi:type="dcterms:W3CDTF">2026-04-01T10:26:00Z</dcterms:created>
  <dcterms:modified xsi:type="dcterms:W3CDTF">2026-04-01T10:26:00Z</dcterms:modified>
</cp:coreProperties>
</file>